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page" w:tblpX="1" w:tblpY="-1980"/>
        <w:tblW w:w="10984" w:type="dxa"/>
        <w:tblCellMar>
          <w:left w:w="99" w:type="dxa"/>
          <w:right w:w="99" w:type="dxa"/>
        </w:tblCellMar>
        <w:tblLook w:val="04A0" w:firstRow="1" w:lastRow="0" w:firstColumn="1" w:lastColumn="0" w:noHBand="0" w:noVBand="1"/>
      </w:tblPr>
      <w:tblGrid>
        <w:gridCol w:w="564"/>
        <w:gridCol w:w="440"/>
        <w:gridCol w:w="3776"/>
        <w:gridCol w:w="756"/>
        <w:gridCol w:w="756"/>
        <w:gridCol w:w="756"/>
        <w:gridCol w:w="3936"/>
      </w:tblGrid>
      <w:tr w:rsidR="00E73C90" w:rsidRPr="00E73C90" w:rsidTr="00E73C90">
        <w:trPr>
          <w:trHeight w:val="90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ＭＳ Ｐゴシック" w:eastAsia="ＭＳ Ｐゴシック" w:hAnsi="ＭＳ Ｐゴシック" w:cs="ＭＳ Ｐゴシック"/>
                <w:kern w:val="0"/>
                <w:sz w:val="24"/>
                <w:szCs w:val="24"/>
              </w:rPr>
            </w:pPr>
            <w:bookmarkStart w:id="0" w:name="RANGE!A1:G54"/>
            <w:bookmarkEnd w:id="0"/>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22"/>
              </w:rPr>
            </w:pPr>
            <w:r w:rsidRPr="00E73C90">
              <w:rPr>
                <w:rFonts w:ascii="ＭＳ Ｐゴシック" w:eastAsia="ＭＳ Ｐゴシック" w:hAnsi="ＭＳ Ｐゴシック" w:cs="ＭＳ Ｐゴシック"/>
                <w:noProof/>
                <w:color w:val="000000"/>
                <w:kern w:val="0"/>
                <w:sz w:val="22"/>
              </w:rPr>
              <mc:AlternateContent>
                <mc:Choice Requires="wpg">
                  <w:drawing>
                    <wp:anchor distT="0" distB="0" distL="114300" distR="114300" simplePos="0" relativeHeight="251658240" behindDoc="0" locked="0" layoutInCell="1" allowOverlap="1">
                      <wp:simplePos x="0" y="0"/>
                      <wp:positionH relativeFrom="column">
                        <wp:posOffset>466725</wp:posOffset>
                      </wp:positionH>
                      <wp:positionV relativeFrom="paragraph">
                        <wp:posOffset>38100</wp:posOffset>
                      </wp:positionV>
                      <wp:extent cx="4705350" cy="466725"/>
                      <wp:effectExtent l="0" t="0" r="57150" b="66675"/>
                      <wp:wrapNone/>
                      <wp:docPr id="1" name="グループ化 1"/>
                      <wp:cNvGraphicFramePr/>
                      <a:graphic xmlns:a="http://schemas.openxmlformats.org/drawingml/2006/main">
                        <a:graphicData uri="http://schemas.microsoft.com/office/word/2010/wordprocessingGroup">
                          <wpg:wgp>
                            <wpg:cNvGrpSpPr/>
                            <wpg:grpSpPr>
                              <a:xfrm>
                                <a:off x="0" y="0"/>
                                <a:ext cx="4705350" cy="466726"/>
                                <a:chOff x="0" y="0"/>
                                <a:chExt cx="4705350" cy="466726"/>
                              </a:xfrm>
                            </wpg:grpSpPr>
                            <wps:wsp>
                              <wps:cNvPr id="2" name="角丸四角形 1"/>
                              <wps:cNvSpPr>
                                <a:spLocks noChangeArrowheads="1"/>
                              </wps:cNvSpPr>
                              <wps:spPr bwMode="auto">
                                <a:xfrm>
                                  <a:off x="0" y="0"/>
                                  <a:ext cx="4705350" cy="466726"/>
                                </a:xfrm>
                                <a:custGeom>
                                  <a:avLst/>
                                  <a:gdLst>
                                    <a:gd name="T0" fmla="*/ 0 w 4705350"/>
                                    <a:gd name="T1" fmla="*/ 77789 h 466726"/>
                                    <a:gd name="T2" fmla="*/ 0 w 4705350"/>
                                    <a:gd name="T3" fmla="*/ 77789 h 466726"/>
                                    <a:gd name="T4" fmla="*/ 77788 w 4705350"/>
                                    <a:gd name="T5" fmla="*/ 0 h 466726"/>
                                    <a:gd name="T6" fmla="*/ 4627560 w 4705350"/>
                                    <a:gd name="T7" fmla="*/ 0 h 466726"/>
                                    <a:gd name="T8" fmla="*/ 4627560 w 4705350"/>
                                    <a:gd name="T9" fmla="*/ 0 h 466726"/>
                                    <a:gd name="T10" fmla="*/ 4705349 w 4705350"/>
                                    <a:gd name="T11" fmla="*/ 77789 h 466726"/>
                                    <a:gd name="T12" fmla="*/ 4705350 w 4705350"/>
                                    <a:gd name="T13" fmla="*/ 388936 h 466726"/>
                                    <a:gd name="T14" fmla="*/ 4705350 w 4705350"/>
                                    <a:gd name="T15" fmla="*/ 388936 h 466726"/>
                                    <a:gd name="T16" fmla="*/ 4627561 w 4705350"/>
                                    <a:gd name="T17" fmla="*/ 466725 h 466726"/>
                                    <a:gd name="T18" fmla="*/ 77789 w 4705350"/>
                                    <a:gd name="T19" fmla="*/ 466726 h 466726"/>
                                    <a:gd name="T20" fmla="*/ 77789 w 4705350"/>
                                    <a:gd name="T21" fmla="*/ 466726 h 466726"/>
                                    <a:gd name="T22" fmla="*/ 0 w 4705350"/>
                                    <a:gd name="T23" fmla="*/ 388937 h 466726"/>
                                    <a:gd name="T24" fmla="*/ 22783 w 4705350"/>
                                    <a:gd name="T25" fmla="*/ 22783 h 466726"/>
                                    <a:gd name="T26" fmla="*/ 4682566 w 4705350"/>
                                    <a:gd name="T27" fmla="*/ 443942 h 466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705350" h="466726">
                                      <a:moveTo>
                                        <a:pt x="0" y="77789"/>
                                      </a:moveTo>
                                      <a:lnTo>
                                        <a:pt x="0" y="77789"/>
                                      </a:lnTo>
                                      <a:cubicBezTo>
                                        <a:pt x="0" y="34827"/>
                                        <a:pt x="34827" y="0"/>
                                        <a:pt x="77788" y="0"/>
                                      </a:cubicBezTo>
                                      <a:lnTo>
                                        <a:pt x="4627560" y="0"/>
                                      </a:lnTo>
                                      <a:cubicBezTo>
                                        <a:pt x="4670521" y="0"/>
                                        <a:pt x="4705349" y="34827"/>
                                        <a:pt x="4705349" y="77789"/>
                                      </a:cubicBezTo>
                                      <a:lnTo>
                                        <a:pt x="4705350" y="388936"/>
                                      </a:lnTo>
                                      <a:cubicBezTo>
                                        <a:pt x="4705350" y="431897"/>
                                        <a:pt x="4670522" y="466725"/>
                                        <a:pt x="4627561" y="466725"/>
                                      </a:cubicBezTo>
                                      <a:lnTo>
                                        <a:pt x="77789" y="466726"/>
                                      </a:lnTo>
                                      <a:cubicBezTo>
                                        <a:pt x="34827" y="466726"/>
                                        <a:pt x="0" y="431898"/>
                                        <a:pt x="0" y="388937"/>
                                      </a:cubicBezTo>
                                      <a:close/>
                                    </a:path>
                                  </a:pathLst>
                                </a:custGeom>
                                <a:solidFill>
                                  <a:srgbClr val="FFFFFF"/>
                                </a:solidFill>
                                <a:ln w="12700">
                                  <a:solidFill>
                                    <a:srgbClr val="000000"/>
                                  </a:solidFill>
                                  <a:round/>
                                  <a:headEnd/>
                                  <a:tailEnd/>
                                </a:ln>
                                <a:effectLst>
                                  <a:outerShdw dist="38100" dir="2700000" algn="bl" rotWithShape="0">
                                    <a:srgbClr val="000000">
                                      <a:alpha val="39999"/>
                                    </a:srgbClr>
                                  </a:outerShdw>
                                </a:effectLst>
                              </wps:spPr>
                              <wps:txbx>
                                <w:txbxContent>
                                  <w:p w:rsidR="00E73C90" w:rsidRDefault="00E73C90" w:rsidP="00E73C90">
                                    <w:pPr>
                                      <w:pStyle w:val="Web"/>
                                      <w:spacing w:before="0" w:beforeAutospacing="0" w:after="0" w:afterAutospacing="0"/>
                                      <w:jc w:val="center"/>
                                    </w:pPr>
                                    <w:r>
                                      <w:rPr>
                                        <w:rFonts w:cstheme="minorBidi" w:hint="eastAsia"/>
                                        <w:color w:val="000000"/>
                                        <w:sz w:val="22"/>
                                        <w:szCs w:val="22"/>
                                      </w:rPr>
                                      <w:t xml:space="preserve">　　　　　　　　　　　</w:t>
                                    </w:r>
                                    <w:r>
                                      <w:rPr>
                                        <w:rFonts w:cstheme="minorBidi" w:hint="eastAsia"/>
                                        <w:b/>
                                        <w:bCs/>
                                        <w:color w:val="000000"/>
                                      </w:rPr>
                                      <w:t>放課後等デイサービス自己評価表</w:t>
                                    </w:r>
                                  </w:p>
                                </w:txbxContent>
                              </wps:txbx>
                              <wps:bodyPr wrap="square" lIns="27432" tIns="18288" rIns="27432" bIns="18288" anchor="ctr" upright="1"/>
                            </wps:wsp>
                            <wps:wsp>
                              <wps:cNvPr id="3" name="正方形/長方形 3"/>
                              <wps:cNvSpPr>
                                <a:spLocks noChangeArrowheads="1"/>
                              </wps:cNvSpPr>
                              <wps:spPr bwMode="auto">
                                <a:xfrm>
                                  <a:off x="676275" y="114300"/>
                                  <a:ext cx="885825" cy="257175"/>
                                </a:xfrm>
                                <a:prstGeom prst="rect">
                                  <a:avLst/>
                                </a:prstGeom>
                                <a:solidFill>
                                  <a:srgbClr val="FFFFFF"/>
                                </a:solidFill>
                                <a:ln w="9525">
                                  <a:solidFill>
                                    <a:srgbClr val="000000"/>
                                  </a:solidFill>
                                  <a:round/>
                                  <a:headEnd/>
                                  <a:tailEnd/>
                                </a:ln>
                                <a:effectLst>
                                  <a:outerShdw dist="38100" dir="2700000" algn="bl" rotWithShape="0">
                                    <a:srgbClr val="000000">
                                      <a:alpha val="39999"/>
                                    </a:srgbClr>
                                  </a:outerShdw>
                                </a:effectLst>
                              </wps:spPr>
                              <wps:txbx>
                                <w:txbxContent>
                                  <w:p w:rsidR="00E73C90" w:rsidRDefault="00E73C90" w:rsidP="00E73C90">
                                    <w:pPr>
                                      <w:pStyle w:val="Web"/>
                                      <w:spacing w:before="0" w:beforeAutospacing="0" w:after="0" w:afterAutospacing="0"/>
                                      <w:jc w:val="center"/>
                                    </w:pPr>
                                    <w:r>
                                      <w:rPr>
                                        <w:rFonts w:cstheme="minorBidi" w:hint="eastAsia"/>
                                        <w:b/>
                                        <w:bCs/>
                                        <w:color w:val="000000"/>
                                      </w:rPr>
                                      <w:t>事業者向け</w:t>
                                    </w:r>
                                    <w:bookmarkStart w:id="1" w:name="_GoBack"/>
                                    <w:bookmarkEnd w:id="1"/>
                                  </w:p>
                                </w:txbxContent>
                              </wps:txbx>
                              <wps:bodyPr wrap="square" lIns="0" tIns="0" rIns="0" bIns="0" anchor="ctr" upright="1"/>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margin-left:36.75pt;margin-top:3pt;width:370.5pt;height:36.75pt;z-index:251658240" coordsize="4705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">
                      <v:shape id="角丸四角形 1" o:spid="_x0000_s1027" style="position:absolute;width:47053;height:4667;visibility:visible;mso-wrap-style:square;v-text-anchor:middle" coordsize="4705350,466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x88QA&#10;AADaAAAADwAAAGRycy9kb3ducmV2LnhtbESPQWvCQBSE74L/YXlCb7qpiA3RVYqg1fZQmvTg8ZF9&#10;ZoPZtyG7TdJ/3y0Uehxm5htmux9tI3rqfO1YweMiAUFcOl1zpeCzOM5TED4ga2wck4Jv8rDfTSdb&#10;zLQb+IP6PFQiQthnqMCE0GZS+tKQRb9wLXH0bq6zGKLsKqk7HCLcNnKZJGtpsea4YLClg6Hynn9Z&#10;BcWrpve38el+OqxMervI1bV5OSv1MBufNyACjeE//Nc+awVL+L0Sb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cfPEAAAA2gAAAA8AAAAAAAAAAAAAAAAAmAIAAGRycy9k&#10;b3ducmV2LnhtbFBLBQYAAAAABAAEAPUAAACJAwAAAAA=&#10;" adj="-11796480,,5400" path="m,77789r,c,34827,34827,,77788,l4627560,v42961,,77789,34827,77789,77789l4705350,388936v,42961,-34828,77789,-77789,77789l77789,466726c34827,466726,,431898,,388937l,77789xe" strokeweight="1pt">
                        <v:stroke joinstyle="round"/>
                        <v:shadow on="t" color="black" opacity="26213f" origin="-.5,.5" offset=".74836mm,.74836mm"/>
                        <v:formulas/>
                        <v:path o:connecttype="custom" o:connectlocs="0,77789;0,77789;77788,0;4627560,0;4627560,0;4705349,77789;4705350,388936;4705350,388936;4627561,466725;77789,466726;77789,466726;0,388937" o:connectangles="0,0,0,0,0,0,0,0,0,0,0,0" textboxrect="22783,22783,4682566,443942"/>
                        <v:textbox inset="2.16pt,1.44pt,2.16pt,1.44pt">
                          <w:txbxContent>
                            <w:p w:rsidR="00E73C90" w:rsidRDefault="00E73C90" w:rsidP="00E73C90">
                              <w:pPr>
                                <w:pStyle w:val="Web"/>
                                <w:spacing w:before="0" w:beforeAutospacing="0" w:after="0" w:afterAutospacing="0"/>
                                <w:jc w:val="center"/>
                              </w:pPr>
                              <w:r>
                                <w:rPr>
                                  <w:rFonts w:cstheme="minorBidi" w:hint="eastAsia"/>
                                  <w:color w:val="000000"/>
                                  <w:sz w:val="22"/>
                                  <w:szCs w:val="22"/>
                                </w:rPr>
                                <w:t xml:space="preserve">　　　　　　　　　　　</w:t>
                              </w:r>
                              <w:r>
                                <w:rPr>
                                  <w:rFonts w:cstheme="minorBidi" w:hint="eastAsia"/>
                                  <w:b/>
                                  <w:bCs/>
                                  <w:color w:val="000000"/>
                                </w:rPr>
                                <w:t>放課後等デイサービス自己評価表</w:t>
                              </w:r>
                            </w:p>
                          </w:txbxContent>
                        </v:textbox>
                      </v:shape>
                      <v:rect id="正方形/長方形 3" o:spid="_x0000_s1028" style="position:absolute;left:6762;top:1143;width:885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SVcQA&#10;AADaAAAADwAAAGRycy9kb3ducmV2LnhtbESPT4vCMBTE78J+h/AWvGmqoizVKGVhRfDgny3sHh/N&#10;sy1tXkoTtfrpjSB4HGbmN8xi1ZlaXKh1pWUFo2EEgjizuuRcQfr7M/gC4TyyxtoyKbiRg9Xyo7fA&#10;WNsrH+hy9LkIEHYxKii8b2IpXVaQQTe0DXHwTrY16INsc6lbvAa4qeU4imbSYMlhocCGvgvKquPZ&#10;KEj2f6Pt7j+tJnt/X3fbSs6myU6p/meXzEF46vw7/GpvtIIJ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6klXEAAAA2gAAAA8AAAAAAAAAAAAAAAAAmAIAAGRycy9k&#10;b3ducmV2LnhtbFBLBQYAAAAABAAEAPUAAACJAwAAAAA=&#10;">
                        <v:stroke joinstyle="round"/>
                        <v:shadow on="t" color="black" opacity="26213f" origin="-.5,.5" offset=".74836mm,.74836mm"/>
                        <v:textbox inset="0,0,0,0">
                          <w:txbxContent>
                            <w:p w:rsidR="00E73C90" w:rsidRDefault="00E73C90" w:rsidP="00E73C90">
                              <w:pPr>
                                <w:pStyle w:val="Web"/>
                                <w:spacing w:before="0" w:beforeAutospacing="0" w:after="0" w:afterAutospacing="0"/>
                                <w:jc w:val="center"/>
                              </w:pPr>
                              <w:r>
                                <w:rPr>
                                  <w:rFonts w:cstheme="minorBidi" w:hint="eastAsia"/>
                                  <w:b/>
                                  <w:bCs/>
                                  <w:color w:val="000000"/>
                                </w:rPr>
                                <w:t>事業者向け</w:t>
                              </w:r>
                              <w:bookmarkStart w:id="2" w:name="_GoBack"/>
                              <w:bookmarkEnd w:id="2"/>
                            </w:p>
                          </w:txbxContent>
                        </v:textbox>
                      </v:rect>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78"/>
            </w:tblGrid>
            <w:tr w:rsidR="00E73C90" w:rsidRPr="00E73C90">
              <w:trPr>
                <w:trHeight w:val="900"/>
                <w:tblCellSpacing w:w="0" w:type="dxa"/>
              </w:trPr>
              <w:tc>
                <w:tcPr>
                  <w:tcW w:w="3760" w:type="dxa"/>
                  <w:tcBorders>
                    <w:top w:val="nil"/>
                    <w:left w:val="nil"/>
                    <w:bottom w:val="nil"/>
                    <w:right w:val="nil"/>
                  </w:tcBorders>
                  <w:shd w:val="clear" w:color="auto" w:fill="auto"/>
                  <w:vAlign w:val="center"/>
                  <w:hideMark/>
                </w:tcPr>
                <w:p w:rsidR="00E73C90" w:rsidRPr="00E73C90" w:rsidRDefault="00E73C90" w:rsidP="00E73C90">
                  <w:pPr>
                    <w:framePr w:hSpace="142" w:wrap="around" w:hAnchor="page" w:x="1" w:y="-1980"/>
                    <w:widowControl/>
                    <w:jc w:val="left"/>
                    <w:rPr>
                      <w:rFonts w:ascii="ＭＳ Ｐゴシック" w:eastAsia="ＭＳ Ｐゴシック" w:hAnsi="ＭＳ Ｐゴシック" w:cs="ＭＳ Ｐゴシック" w:hint="eastAsia"/>
                      <w:color w:val="000000"/>
                      <w:kern w:val="0"/>
                      <w:sz w:val="22"/>
                    </w:rPr>
                  </w:pPr>
                </w:p>
              </w:tc>
            </w:tr>
          </w:tbl>
          <w:p w:rsidR="00E73C90" w:rsidRPr="00E73C90" w:rsidRDefault="00E73C90" w:rsidP="00E73C90">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199"/>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499"/>
        </w:trPr>
        <w:tc>
          <w:tcPr>
            <w:tcW w:w="100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c>
          <w:tcPr>
            <w:tcW w:w="3776" w:type="dxa"/>
            <w:tcBorders>
              <w:top w:val="single" w:sz="4" w:space="0" w:color="auto"/>
              <w:left w:val="nil"/>
              <w:bottom w:val="single" w:sz="4" w:space="0" w:color="auto"/>
              <w:right w:val="single" w:sz="4" w:space="0" w:color="auto"/>
            </w:tcBorders>
            <w:shd w:val="clear" w:color="000000" w:fill="C0C0C0"/>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チェック項目</w:t>
            </w:r>
          </w:p>
        </w:tc>
        <w:tc>
          <w:tcPr>
            <w:tcW w:w="756" w:type="dxa"/>
            <w:tcBorders>
              <w:top w:val="single" w:sz="4" w:space="0" w:color="auto"/>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6"/>
                <w:szCs w:val="16"/>
              </w:rPr>
            </w:pPr>
            <w:r w:rsidRPr="00E73C90">
              <w:rPr>
                <w:rFonts w:ascii="ＭＳ Ｐゴシック" w:eastAsia="ＭＳ Ｐゴシック" w:hAnsi="ＭＳ Ｐゴシック" w:cs="ＭＳ Ｐゴシック" w:hint="eastAsia"/>
                <w:color w:val="000000"/>
                <w:kern w:val="0"/>
                <w:sz w:val="16"/>
                <w:szCs w:val="16"/>
              </w:rPr>
              <w:t>はい</w:t>
            </w:r>
          </w:p>
        </w:tc>
        <w:tc>
          <w:tcPr>
            <w:tcW w:w="756" w:type="dxa"/>
            <w:tcBorders>
              <w:top w:val="single" w:sz="4" w:space="0" w:color="auto"/>
              <w:left w:val="nil"/>
              <w:bottom w:val="single" w:sz="4" w:space="0" w:color="auto"/>
              <w:right w:val="single" w:sz="4" w:space="0" w:color="auto"/>
            </w:tcBorders>
            <w:shd w:val="clear" w:color="000000" w:fill="C0C0C0"/>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4"/>
                <w:szCs w:val="14"/>
              </w:rPr>
            </w:pPr>
            <w:r w:rsidRPr="00E73C90">
              <w:rPr>
                <w:rFonts w:ascii="ＭＳ Ｐゴシック" w:eastAsia="ＭＳ Ｐゴシック" w:hAnsi="ＭＳ Ｐゴシック" w:cs="ＭＳ Ｐゴシック" w:hint="eastAsia"/>
                <w:color w:val="000000"/>
                <w:kern w:val="0"/>
                <w:sz w:val="14"/>
                <w:szCs w:val="14"/>
              </w:rPr>
              <w:t>どちらとも</w:t>
            </w:r>
            <w:r w:rsidRPr="00E73C90">
              <w:rPr>
                <w:rFonts w:ascii="ＭＳ Ｐゴシック" w:eastAsia="ＭＳ Ｐゴシック" w:hAnsi="ＭＳ Ｐゴシック" w:cs="ＭＳ Ｐゴシック" w:hint="eastAsia"/>
                <w:color w:val="000000"/>
                <w:kern w:val="0"/>
                <w:sz w:val="14"/>
                <w:szCs w:val="14"/>
              </w:rPr>
              <w:br/>
              <w:t>いえない</w:t>
            </w:r>
          </w:p>
        </w:tc>
        <w:tc>
          <w:tcPr>
            <w:tcW w:w="756" w:type="dxa"/>
            <w:tcBorders>
              <w:top w:val="single" w:sz="4" w:space="0" w:color="auto"/>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6"/>
                <w:szCs w:val="16"/>
              </w:rPr>
            </w:pPr>
            <w:r w:rsidRPr="00E73C90">
              <w:rPr>
                <w:rFonts w:ascii="ＭＳ Ｐゴシック" w:eastAsia="ＭＳ Ｐゴシック" w:hAnsi="ＭＳ Ｐゴシック" w:cs="ＭＳ Ｐゴシック" w:hint="eastAsia"/>
                <w:color w:val="000000"/>
                <w:kern w:val="0"/>
                <w:sz w:val="16"/>
                <w:szCs w:val="16"/>
              </w:rPr>
              <w:t>いいえ</w:t>
            </w:r>
          </w:p>
        </w:tc>
        <w:tc>
          <w:tcPr>
            <w:tcW w:w="3936" w:type="dxa"/>
            <w:tcBorders>
              <w:top w:val="single" w:sz="4" w:space="0" w:color="auto"/>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改善目標、工夫している点など</w:t>
            </w:r>
          </w:p>
        </w:tc>
      </w:tr>
      <w:tr w:rsidR="00E73C90" w:rsidRPr="00E73C90" w:rsidTr="00E73C90">
        <w:trPr>
          <w:trHeight w:val="720"/>
        </w:trPr>
        <w:tc>
          <w:tcPr>
            <w:tcW w:w="564" w:type="dxa"/>
            <w:vMerge w:val="restart"/>
            <w:tcBorders>
              <w:top w:val="nil"/>
              <w:left w:val="single" w:sz="4" w:space="0" w:color="auto"/>
              <w:bottom w:val="single" w:sz="4" w:space="0" w:color="auto"/>
              <w:right w:val="single" w:sz="4" w:space="0" w:color="auto"/>
            </w:tcBorders>
            <w:shd w:val="clear" w:color="000000" w:fill="C0C0C0"/>
            <w:noWrap/>
            <w:textDirection w:val="tbRlV"/>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環境・体制整備</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①</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利用定員が指導訓練室等スペースとの関係で適切であるか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・限りあるスペースを有効に使った活動を常に考え、提供しています</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②</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職員の配置数は適切であるか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③</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事業所の設備等について、バリアフリー化の配慮が適切になされているか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・利用者出入り口の段差が高く、老朽化もしているため修繕予定です</w:t>
            </w:r>
          </w:p>
        </w:tc>
      </w:tr>
      <w:tr w:rsidR="00E73C90" w:rsidRPr="00E73C90" w:rsidTr="00E73C90">
        <w:trPr>
          <w:trHeight w:val="1080"/>
        </w:trPr>
        <w:tc>
          <w:tcPr>
            <w:tcW w:w="564" w:type="dxa"/>
            <w:vMerge w:val="restart"/>
            <w:tcBorders>
              <w:top w:val="nil"/>
              <w:left w:val="single" w:sz="4" w:space="0" w:color="auto"/>
              <w:bottom w:val="single" w:sz="4" w:space="0" w:color="auto"/>
              <w:right w:val="single" w:sz="4" w:space="0" w:color="auto"/>
            </w:tcBorders>
            <w:shd w:val="clear" w:color="000000" w:fill="C0C0C0"/>
            <w:noWrap/>
            <w:textDirection w:val="tbRlV"/>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業務改善</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④</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業務改善を進めるための ＰＤＣＡ サイクル（目標設定と振り返り）に、広く職員が参画しているか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⑤</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保護者等向け評価表を活用する等によりアンケート調査を実施して保護者等の意向等を把握し、業務改善につなげているか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⑥</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この自己評価の結果を、事業所の会報やホームページ等で公開しているか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・今年度より掲載します</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⑦</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第三者による外部評価を行い、評価結果を業務改善につなげているか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・今年度より第三者委員を設立。苦情等への対応に生かしていきたいと考えています</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⑧</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職員の資質の向上を行うために、研修の機会を確保しているか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10</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・年に2回以上の社内全体研修を実施し、常勤・非常勤ともに参加しています</w:t>
            </w:r>
          </w:p>
        </w:tc>
      </w:tr>
      <w:tr w:rsidR="00E73C90" w:rsidRPr="00E73C90" w:rsidTr="00E73C90">
        <w:trPr>
          <w:trHeight w:val="1080"/>
        </w:trPr>
        <w:tc>
          <w:tcPr>
            <w:tcW w:w="564"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適切な支援の提供</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⑨</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アセスメントを適切に行い、子どもと保護者のニーズや課題を客観的に分析した上で、放課後等デイサービス計画を作成しているか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10</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⑩</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子どもの適応行動の状況を図るために、標準化されたアセスメントツールを使用しているか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⑪</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活動プログラムの立案をチームで行っているか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⑫</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活動プログラムが固定化しないよう工夫しているか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・体操・製作・レクリエーション・日常トレーニングを中心にプログラムを組み、外部講師による活動も取り入れています</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⑬</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平日、休日、長期休暇に応じて、課題をきめ細やかに設定して支援しているか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⑭</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子どもの状況に応じて、個別活動と集団活動を適宜組み合わせて放課後等デイサービス計画を作成しているか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10</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⑮</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支援開始前には職員間で必ず打合せをし、その日行われる支援の内容や役割分担について確認しているか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⑯</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支援終了後には、職員間で必ず打合せをし、その日行われた支援の振り返りを行い、気付いた点等を共有しているか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⑰</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日々の支援に関して正しく記録をとることを徹底し、支援の検証・改善につなげているか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⑱</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定期的にモニタリングを行い、放課後等デイサービス計画の見直しの必要性を判断しているか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⑲</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ガイドラインの総則の基本活動を複数組み合わせて支援を行っているか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関係機関や保護者との連携</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⑳</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障害児相談支援事業所のサービス担当者会議にその子どもの状況に精通した最もふさわしい者が参画しているか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・時間の都合等でなかなか個別の会議等に参加出来ていませんが、電話や書面によるモニタリングや報告で連携を取っています</w:t>
            </w:r>
          </w:p>
        </w:tc>
      </w:tr>
      <w:tr w:rsidR="00E73C90" w:rsidRPr="00E73C90" w:rsidTr="00E73C90">
        <w:trPr>
          <w:trHeight w:val="144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㉑</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学校との情報共有（年間計画・行事予定等の交換、子どもの下校時刻の確認等）、連絡調整（送迎時の対応、トラブル発生時の連絡）を適切に行っているか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㉒</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医療的ケアが必要な子供を受入れる場合は、子どもの主治医等と連絡体制を整えているか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・現在医療的ケアが必要な子供の受け入れは行なっておりません</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㉓</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就学前に利用していた保育所や幼稚園、認定こども園、児童発達支援事業所等との間で情報共有と相互理解に努めているか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・事業所説明会や地域の連絡会等での情報共有を行なっています</w:t>
            </w:r>
          </w:p>
        </w:tc>
      </w:tr>
      <w:tr w:rsidR="00E73C90" w:rsidRPr="00E73C90" w:rsidTr="00E73C90">
        <w:trPr>
          <w:trHeight w:val="144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㉔</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学校を卒業し、放課後等デイサービス事業所から障害福祉サービス事業所等へ移行する場合、それまでの支援内容等の情報を提供する等しているか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・現在高校生の受け入れを行なっていないため障害福祉サービス事業所等への情報提供はしていません。ただし別のデイサービスへ移行する場合などは情報の提供を行なっています</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㉕</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児童発達支援センターや発達障害者支援センター等の専門機関と連携し、助言や研修を受けているか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㉖</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放課後児童クラブや児童館との交流や、障害のない子どもと活動する機会があるか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・公園等への外出はあるが、交流まではいたっていないです。地域のお祭りやイベントに参加する機会を増やしていきたいです</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㉗</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（地域自立支援）協議会等へ積極的に参加しているか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㉘</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日頃から子どもの状況を保護者と伝え合い、子どもの発達の状況や課題について共通理解を持っているか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44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㉙</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保護者の対応力の向上を図る観点から、保護者に対してペアレント・トレーニング等の支援を行っているか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研修等への参加の促しは行なっていますが、事業所としての支援は少ないと感じています。勉強会等を設け、協力体制を作っていきたいと思っています</w:t>
            </w:r>
          </w:p>
        </w:tc>
      </w:tr>
      <w:tr w:rsidR="00E73C90" w:rsidRPr="00E73C90" w:rsidTr="00E73C90">
        <w:trPr>
          <w:trHeight w:val="720"/>
        </w:trPr>
        <w:tc>
          <w:tcPr>
            <w:tcW w:w="564" w:type="dxa"/>
            <w:vMerge w:val="restart"/>
            <w:tcBorders>
              <w:top w:val="nil"/>
              <w:left w:val="single" w:sz="4" w:space="0" w:color="auto"/>
              <w:bottom w:val="nil"/>
              <w:right w:val="single" w:sz="4" w:space="0" w:color="auto"/>
            </w:tcBorders>
            <w:shd w:val="clear" w:color="000000" w:fill="C0C0C0"/>
            <w:noWrap/>
            <w:textDirection w:val="tbRlV"/>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保護者への説明責任等</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㉚</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運営規程、支援の内容、利用者負担等について丁寧な説明を行っているか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440"/>
        </w:trPr>
        <w:tc>
          <w:tcPr>
            <w:tcW w:w="564" w:type="dxa"/>
            <w:vMerge/>
            <w:tcBorders>
              <w:top w:val="nil"/>
              <w:left w:val="single" w:sz="4" w:space="0" w:color="auto"/>
              <w:bottom w:val="nil"/>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㉛</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保護者からの子育ての悩み等に対する相談に適切に応じ、必要な助言と支援を行っているか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nil"/>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㉜</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父母の会の活動を支援したり、保護者会等を開催する等により、保護者同士の連携を支援しているか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毎年「さーくる縁」さんのコンサートに参加させていただいております。保護者会等の開催につきましては事業所説明会や活動報告会等で連携を取れる場を提供出来るようにしていきます</w:t>
            </w:r>
          </w:p>
        </w:tc>
      </w:tr>
      <w:tr w:rsidR="00E73C90" w:rsidRPr="00E73C90" w:rsidTr="00E73C90">
        <w:trPr>
          <w:trHeight w:val="1440"/>
        </w:trPr>
        <w:tc>
          <w:tcPr>
            <w:tcW w:w="564"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22"/>
              </w:rPr>
            </w:pPr>
            <w:r w:rsidRPr="00E73C90">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㉝</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子どもや保護者からの苦情について、対応の体制を整備するとともに、子どもや保護者に周知し、苦情があった場合に迅速かつ適切に対応しているか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108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㉞</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定期的に会報等を発行し、活動概要や行事予定、連絡体制等の情報を子どもや保護者に対して発信しているか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㉟</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個人情報に十分注意しているか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㊱</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障害のある子どもや保護者との意思の疎通や情報伝達のための配慮をしているか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000000"/>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㊲</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事業所の行事に地域住民を招待する等地域に開かれた事業運営を図っているか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苦情等への体制は整っています。また迅速な対応への配慮も常に心がけています</w:t>
            </w:r>
          </w:p>
        </w:tc>
      </w:tr>
      <w:tr w:rsidR="00E73C90" w:rsidRPr="00E73C90" w:rsidTr="00E73C90">
        <w:trPr>
          <w:trHeight w:val="1080"/>
        </w:trPr>
        <w:tc>
          <w:tcPr>
            <w:tcW w:w="564" w:type="dxa"/>
            <w:vMerge w:val="restart"/>
            <w:tcBorders>
              <w:top w:val="nil"/>
              <w:left w:val="single" w:sz="4" w:space="0" w:color="auto"/>
              <w:bottom w:val="single" w:sz="4" w:space="0" w:color="auto"/>
              <w:right w:val="single" w:sz="4" w:space="0" w:color="auto"/>
            </w:tcBorders>
            <w:shd w:val="clear" w:color="000000" w:fill="C0C0C0"/>
            <w:noWrap/>
            <w:textDirection w:val="tbRlV"/>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非常時等の対応</w:t>
            </w: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㊳</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緊急時対応マニュアル、防犯マニュアル、感染症対応マニュアルを策定し、職員や保護者に周知しているか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防災計画等のマニュアルはありますが、具体的な情報提供等は出来ていませんでした。今後の検討課題でもあります</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㊴</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非常災害の発生に備え、定期的に避難、救出その他必要な訓練を行っているか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㊵</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虐待を防止するため、職員の研修機会を確保する等、適切な対応をしているか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1年に1回虐待に関しての研修会を行なっています</w:t>
            </w:r>
          </w:p>
        </w:tc>
      </w:tr>
      <w:tr w:rsidR="00E73C90" w:rsidRPr="00E73C90" w:rsidTr="00E73C90">
        <w:trPr>
          <w:trHeight w:val="144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㊶</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 xml:space="preserve">　</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㊷</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食物アレルギーのある子どもについて、医師の指示書に基づく対応がされているか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アセスメント等によりいただいた情報を元に、職員間で共有をしています</w:t>
            </w:r>
          </w:p>
        </w:tc>
      </w:tr>
      <w:tr w:rsidR="00E73C90" w:rsidRPr="00E73C90" w:rsidTr="00E73C90">
        <w:trPr>
          <w:trHeight w:val="720"/>
        </w:trPr>
        <w:tc>
          <w:tcPr>
            <w:tcW w:w="564" w:type="dxa"/>
            <w:vMerge/>
            <w:tcBorders>
              <w:top w:val="nil"/>
              <w:left w:val="single" w:sz="4" w:space="0" w:color="auto"/>
              <w:bottom w:val="single" w:sz="4" w:space="0" w:color="auto"/>
              <w:right w:val="single" w:sz="4" w:space="0" w:color="auto"/>
            </w:tcBorders>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㊸</w:t>
            </w:r>
          </w:p>
        </w:tc>
        <w:tc>
          <w:tcPr>
            <w:tcW w:w="377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ヒヤリハット事例集を作成して事業所内で共有しているか</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shd w:val="clear" w:color="auto" w:fill="auto"/>
            <w:noWrap/>
            <w:vAlign w:val="center"/>
            <w:hideMark/>
          </w:tcPr>
          <w:p w:rsidR="00E73C90" w:rsidRPr="00E73C90" w:rsidRDefault="00E73C90" w:rsidP="00E73C90">
            <w:pPr>
              <w:widowControl/>
              <w:jc w:val="center"/>
              <w:rPr>
                <w:rFonts w:ascii="ＭＳ Ｐゴシック" w:eastAsia="ＭＳ Ｐゴシック" w:hAnsi="ＭＳ Ｐゴシック" w:cs="ＭＳ Ｐゴシック" w:hint="eastAsia"/>
                <w:color w:val="000000"/>
                <w:kern w:val="0"/>
                <w:sz w:val="32"/>
                <w:szCs w:val="32"/>
              </w:rPr>
            </w:pPr>
            <w:r w:rsidRPr="00E73C90">
              <w:rPr>
                <w:rFonts w:ascii="ＭＳ Ｐゴシック" w:eastAsia="ＭＳ Ｐゴシック" w:hAnsi="ＭＳ Ｐゴシック" w:cs="ＭＳ Ｐゴシック" w:hint="eastAsia"/>
                <w:color w:val="000000"/>
                <w:kern w:val="0"/>
                <w:sz w:val="32"/>
                <w:szCs w:val="32"/>
              </w:rPr>
              <w:t xml:space="preserve">　</w:t>
            </w:r>
          </w:p>
        </w:tc>
        <w:tc>
          <w:tcPr>
            <w:tcW w:w="3936" w:type="dxa"/>
            <w:tcBorders>
              <w:top w:val="nil"/>
              <w:left w:val="nil"/>
              <w:bottom w:val="single" w:sz="4" w:space="0" w:color="auto"/>
              <w:right w:val="single" w:sz="4" w:space="0" w:color="auto"/>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事例集は常勤・非常勤関わらず作成し、閲覧出来るようになっています</w:t>
            </w: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left"/>
              <w:rPr>
                <w:rFonts w:ascii="ＭＳ Ｐゴシック" w:eastAsia="ＭＳ Ｐゴシック" w:hAnsi="ＭＳ Ｐゴシック" w:cs="ＭＳ Ｐゴシック"/>
                <w:color w:val="000000"/>
                <w:kern w:val="0"/>
                <w:sz w:val="18"/>
                <w:szCs w:val="18"/>
              </w:rPr>
            </w:pPr>
            <w:r w:rsidRPr="00E73C90">
              <w:rPr>
                <w:rFonts w:ascii="ＭＳ Ｐゴシック" w:eastAsia="ＭＳ Ｐゴシック" w:hAnsi="ＭＳ Ｐゴシック" w:cs="ＭＳ Ｐゴシック" w:hint="eastAsia"/>
                <w:color w:val="000000"/>
                <w:kern w:val="0"/>
                <w:sz w:val="18"/>
                <w:szCs w:val="18"/>
              </w:rPr>
              <w:t>職員 10名回答（常勤・非常勤）</w:t>
            </w: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ＭＳ Ｐゴシック" w:eastAsia="ＭＳ Ｐゴシック" w:hAnsi="ＭＳ Ｐゴシック" w:cs="ＭＳ Ｐゴシック" w:hint="eastAsia"/>
                <w:color w:val="000000"/>
                <w:kern w:val="0"/>
                <w:sz w:val="18"/>
                <w:szCs w:val="18"/>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05"/>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r w:rsidR="00E73C90" w:rsidRPr="00E73C90" w:rsidTr="00E73C90">
        <w:trPr>
          <w:trHeight w:val="720"/>
        </w:trPr>
        <w:tc>
          <w:tcPr>
            <w:tcW w:w="564" w:type="dxa"/>
            <w:tcBorders>
              <w:top w:val="nil"/>
              <w:left w:val="nil"/>
              <w:bottom w:val="nil"/>
              <w:right w:val="nil"/>
            </w:tcBorders>
            <w:shd w:val="clear" w:color="auto" w:fill="auto"/>
            <w:noWrap/>
            <w:textDirection w:val="tbRlV"/>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440"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3776" w:type="dxa"/>
            <w:tcBorders>
              <w:top w:val="nil"/>
              <w:left w:val="nil"/>
              <w:bottom w:val="nil"/>
              <w:right w:val="nil"/>
            </w:tcBorders>
            <w:shd w:val="clear" w:color="auto" w:fill="auto"/>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left"/>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75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c>
          <w:tcPr>
            <w:tcW w:w="3936" w:type="dxa"/>
            <w:tcBorders>
              <w:top w:val="nil"/>
              <w:left w:val="nil"/>
              <w:bottom w:val="nil"/>
              <w:right w:val="nil"/>
            </w:tcBorders>
            <w:shd w:val="clear" w:color="auto" w:fill="auto"/>
            <w:noWrap/>
            <w:vAlign w:val="center"/>
            <w:hideMark/>
          </w:tcPr>
          <w:p w:rsidR="00E73C90" w:rsidRPr="00E73C90" w:rsidRDefault="00E73C90" w:rsidP="00E73C90">
            <w:pPr>
              <w:widowControl/>
              <w:jc w:val="center"/>
              <w:rPr>
                <w:rFonts w:ascii="Times New Roman" w:eastAsia="Times New Roman" w:hAnsi="Times New Roman" w:cs="Times New Roman"/>
                <w:kern w:val="0"/>
                <w:sz w:val="20"/>
                <w:szCs w:val="20"/>
              </w:rPr>
            </w:pPr>
          </w:p>
        </w:tc>
      </w:tr>
    </w:tbl>
    <w:p w:rsidR="006318CD" w:rsidRPr="00E73C90" w:rsidRDefault="006318CD"/>
    <w:sectPr w:rsidR="006318CD" w:rsidRPr="00E73C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90"/>
    <w:rsid w:val="006318CD"/>
    <w:rsid w:val="00E7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B2D982-5DAF-4731-9C51-C0EF9B42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3C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tamamizuki</dc:creator>
  <cp:keywords/>
  <dc:description/>
  <cp:lastModifiedBy>tamamizuki</cp:lastModifiedBy>
  <cp:revision>1</cp:revision>
  <dcterms:created xsi:type="dcterms:W3CDTF">2019-02-27T11:08:00Z</dcterms:created>
  <dcterms:modified xsi:type="dcterms:W3CDTF">2019-02-27T11:10:00Z</dcterms:modified>
</cp:coreProperties>
</file>